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0B37AA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High Desert </w:t>
      </w:r>
    </w:p>
    <w:p w:rsidR="000B37AA" w:rsidRDefault="000B37AA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3</w:t>
      </w:r>
      <w:r w:rsidRPr="000B37AA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 </w:t>
      </w:r>
    </w:p>
    <w:p w:rsidR="000B37AA" w:rsidRPr="000B37AA" w:rsidRDefault="000B37AA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5051DEB5" wp14:editId="0D6A1DC3">
            <wp:extent cx="9286875" cy="6172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B37AA" w:rsidRPr="000B37AA" w:rsidSect="000B37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A"/>
    <w:rsid w:val="000B37AA"/>
    <w:rsid w:val="002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65743-C9AA-4296-91CA-17B0597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1,733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49</c:v>
                </c:pt>
                <c:pt idx="1">
                  <c:v>67</c:v>
                </c:pt>
                <c:pt idx="2">
                  <c:v>152</c:v>
                </c:pt>
                <c:pt idx="3">
                  <c:v>218</c:v>
                </c:pt>
                <c:pt idx="4">
                  <c:v>263</c:v>
                </c:pt>
                <c:pt idx="5">
                  <c:v>323</c:v>
                </c:pt>
                <c:pt idx="6">
                  <c:v>224</c:v>
                </c:pt>
                <c:pt idx="7">
                  <c:v>146</c:v>
                </c:pt>
                <c:pt idx="8">
                  <c:v>101</c:v>
                </c:pt>
                <c:pt idx="9">
                  <c:v>57</c:v>
                </c:pt>
                <c:pt idx="10">
                  <c:v>59</c:v>
                </c:pt>
                <c:pt idx="11">
                  <c:v>41</c:v>
                </c:pt>
                <c:pt idx="12">
                  <c:v>16</c:v>
                </c:pt>
                <c:pt idx="13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572128"/>
        <c:axId val="174576832"/>
        <c:axId val="0"/>
      </c:bar3DChart>
      <c:catAx>
        <c:axId val="174572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576832"/>
        <c:crosses val="autoZero"/>
        <c:auto val="1"/>
        <c:lblAlgn val="ctr"/>
        <c:lblOffset val="100"/>
        <c:noMultiLvlLbl val="0"/>
      </c:catAx>
      <c:valAx>
        <c:axId val="1745768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457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2017-10-27T16:35:00Z</dcterms:created>
  <dcterms:modified xsi:type="dcterms:W3CDTF">2017-10-27T16:36:00Z</dcterms:modified>
</cp:coreProperties>
</file>